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关于遴选招标采购代理机构的公告</w:t>
      </w:r>
    </w:p>
    <w:p>
      <w:pPr>
        <w:rPr>
          <w:rFonts w:hint="eastAsia"/>
          <w:lang w:val="en-US" w:eastAsia="zh-CN"/>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为规范馆内招标采购工作，广东省立中山图书馆拟通过自主公开遴选的形式择优选取</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家采购代理机构，服务期为两年。</w:t>
      </w:r>
      <w:bookmarkStart w:id="0" w:name="_GoBack"/>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一、项目概况</w:t>
      </w:r>
    </w:p>
    <w:bookmarkEnd w:id="0"/>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本项目拟遴选</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家采购代理机构承担广东省立中山图书馆的货物、服务、工程和的采购业务。采购人如有需要委托采购代理机构实施单次项目采购时，将在</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家采购代理机构挑选一家作为采购代理。采购代理委托协议按采购项目一事一签。</w:t>
      </w:r>
    </w:p>
    <w:p>
      <w:pPr>
        <w:adjustRightIn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二、服务要求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依据政府采购法及相关法规提供代理服务，包括但不限于如下内容：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1.工程、服务和货物等政府采购需求调查（如需要）。编制采购实施计划、需求论证（电子版和书面报告）等工作，为采购人后续采购提供参考。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2.编制代理项目采购工作计划，对项目提供咨询服务及需求论证服务。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编制、发售、澄清、修改、解释、组织论证采购文件，对技术条款（包括用户需求清单、名称、数量、功能、技术指标等）和商务条款（含资格条件、通用商务要求、评分标准及合同条款等）进行全面的实质性检查及完善以符合政府采购法律法规办理采购文件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4.制定评审方法、步骤、标准；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5.在政府采购监督管理部门或其他主管部门指定媒体上发布采购公告、中标（成交）公告，向供应商发送中标（成交）通知书，对评审过程和未进行公示公告的评审结果保密。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6.发布采购文件，接受供应商报名（包括接受响应文件及代收、代退投标保证金）。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7.编制、澄清和修改采购文件，组织必要的现场踏勘、答疑会（如需要）。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8.负责接收和保管供应商递交的响应文件并组织评审。落实评审地点，主持评审活动，并做好评审记录。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9.对于政府采购项目，依法抽取专家并组建评审委员会；对于非政府采购项目，协助采购人组建评审委员会；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10.负责供应商资格性文件审查（如有其他要求除外）及组织工作，整理评审报告送采购人及有关部门；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11.答复供应商的询问和质疑，协助处理供应商投诉，必要时，协助采购人与中标（成交）供应商洽谈合同签订事宜；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12.配合采购人或上级主管部门对采购项目的监督检查或调取、补漏相关资料，采购全流程文件等档案完整保存不少于 15 年，并向采购人提交一套完整的采购工作归档资料（含电子数据及其它有关文件）。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13.根据采购人需要，为采购人提供采购业务咨询、宣讲、培训等技术服务。</w:t>
      </w:r>
    </w:p>
    <w:p>
      <w:pPr>
        <w:adjustRightInd w:val="0"/>
        <w:spacing w:line="560" w:lineRule="exact"/>
        <w:ind w:left="548" w:leftChars="261"/>
        <w:textAlignment w:val="baseline"/>
        <w:rPr>
          <w:rFonts w:ascii="黑体" w:hAnsi="黑体" w:eastAsia="黑体" w:cs="黑体"/>
          <w:kern w:val="0"/>
          <w:sz w:val="32"/>
          <w:szCs w:val="32"/>
        </w:rPr>
      </w:pPr>
      <w:r>
        <w:rPr>
          <w:rFonts w:hint="eastAsia" w:ascii="黑体" w:hAnsi="黑体" w:eastAsia="黑体" w:cs="黑体"/>
          <w:kern w:val="0"/>
          <w:sz w:val="32"/>
          <w:szCs w:val="32"/>
        </w:rPr>
        <w:t xml:space="preserve">三、服务期及管理 </w:t>
      </w:r>
    </w:p>
    <w:p>
      <w:pPr>
        <w:adjustRightInd w:val="0"/>
        <w:spacing w:line="56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1.服务年限：两年（自合同签订之日起）。</w:t>
      </w:r>
    </w:p>
    <w:p>
      <w:pPr>
        <w:adjustRightInd w:val="0"/>
        <w:spacing w:line="56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2.服务期内，如上级部门发生政策调整或有新规定或采购人内部管理调整，采购人有权按新规定执行，并适当调整服务期限、合理增减入围企业数量或者终止本项目合同。</w:t>
      </w:r>
    </w:p>
    <w:p>
      <w:pPr>
        <w:adjustRightInd w:val="0"/>
        <w:spacing w:line="56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3.若至服务期限截止日，采购人因故未遴选出新的代理机构，则本期代理服务期顺延至新一批代理机构遴选结果出来为止。</w:t>
      </w:r>
    </w:p>
    <w:p>
      <w:pPr>
        <w:adjustRightInd w:val="0"/>
        <w:spacing w:line="56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4. 采购人在服务期内按需对采购代理机构的服务质量进行综合考核，考核不合格则服务合同自动终止。采购人将不再向该采购代理机构委托采购业务。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四、公告及评选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本次遴选拟在</w:t>
      </w:r>
      <w:r>
        <w:rPr>
          <w:rFonts w:hint="eastAsia" w:ascii="仿宋_GB2312" w:hAnsi="仿宋_GB2312" w:eastAsia="仿宋_GB2312" w:cs="仿宋_GB2312"/>
          <w:bCs/>
          <w:sz w:val="32"/>
          <w:szCs w:val="32"/>
        </w:rPr>
        <w:t>广东省立中山图书馆网上公开发布遴选公告，邀请潜在的合格供应商在规定的时间内提交密封的遴选资料，并委托政府采购的评审专家对遴选资料进行择优评选打分，最终评选出</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家采购代理机构</w:t>
      </w:r>
      <w:r>
        <w:rPr>
          <w:rFonts w:ascii="仿宋_GB2312" w:hAnsi="仿宋_GB2312" w:eastAsia="仿宋_GB2312" w:cs="仿宋_GB2312"/>
          <w:sz w:val="32"/>
          <w:szCs w:val="32"/>
        </w:rPr>
        <w:t xml:space="preserve"> 。</w:t>
      </w:r>
    </w:p>
    <w:p>
      <w:pPr>
        <w:numPr>
          <w:ilvl w:val="0"/>
          <w:numId w:val="1"/>
        </w:numPr>
        <w:adjustRightInd w:val="0"/>
        <w:snapToGrid w:val="0"/>
        <w:spacing w:line="520" w:lineRule="exact"/>
        <w:ind w:leftChars="0" w:firstLine="602"/>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遴选资料递交时间及要求</w:t>
      </w:r>
    </w:p>
    <w:p>
      <w:pPr>
        <w:numPr>
          <w:ilvl w:val="0"/>
          <w:numId w:val="2"/>
        </w:numPr>
        <w:adjustRightInd w:val="0"/>
        <w:snapToGrid w:val="0"/>
        <w:spacing w:line="520" w:lineRule="exact"/>
        <w:ind w:left="602" w:leftChars="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递交材料时间：2024年3月4日-2024年3月7日。</w:t>
      </w:r>
    </w:p>
    <w:p>
      <w:pPr>
        <w:numPr>
          <w:ilvl w:val="0"/>
          <w:numId w:val="2"/>
        </w:numPr>
        <w:adjustRightInd w:val="0"/>
        <w:snapToGrid w:val="0"/>
        <w:spacing w:line="520" w:lineRule="exact"/>
        <w:ind w:left="602" w:leftChars="0"/>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递交材料方式：请于2024年3月7日前把材料密封并以邮寄的方式寄到广东省立中山图书馆(时间以文件到达签收时间为准），逾期不予接受。</w:t>
      </w:r>
    </w:p>
    <w:p>
      <w:pPr>
        <w:numPr>
          <w:ilvl w:val="0"/>
          <w:numId w:val="2"/>
        </w:numPr>
        <w:adjustRightInd w:val="0"/>
        <w:snapToGrid w:val="0"/>
        <w:spacing w:line="520" w:lineRule="exact"/>
        <w:ind w:left="602" w:leftChars="0"/>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报名材料必须密封并加盖公章，否则视为无效报名。</w:t>
      </w:r>
    </w:p>
    <w:p>
      <w:pPr>
        <w:numPr>
          <w:ilvl w:val="0"/>
          <w:numId w:val="2"/>
        </w:numPr>
        <w:adjustRightInd w:val="0"/>
        <w:snapToGrid w:val="0"/>
        <w:spacing w:line="520" w:lineRule="exact"/>
        <w:ind w:left="602" w:leftChars="0"/>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遴选要求：参照“采购代理机构入库评审表”相关条件要求提交材料。</w:t>
      </w:r>
    </w:p>
    <w:p>
      <w:pPr>
        <w:numPr>
          <w:ilvl w:val="0"/>
          <w:numId w:val="1"/>
        </w:numPr>
        <w:adjustRightInd w:val="0"/>
        <w:snapToGrid w:val="0"/>
        <w:spacing w:line="520" w:lineRule="exact"/>
        <w:ind w:left="0" w:leftChars="0" w:firstLine="602" w:firstLineChars="0"/>
        <w:rPr>
          <w:rFonts w:hint="default"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联系方式</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联系人：</w:t>
      </w:r>
      <w:r>
        <w:rPr>
          <w:rFonts w:hint="eastAsia" w:ascii="仿宋_GB2312" w:hAnsi="仿宋_GB2312" w:eastAsia="仿宋_GB2312" w:cs="仿宋_GB2312"/>
          <w:sz w:val="30"/>
          <w:szCs w:val="30"/>
          <w:lang w:eastAsia="zh-CN"/>
        </w:rPr>
        <w:t>彭</w:t>
      </w:r>
      <w:r>
        <w:rPr>
          <w:rFonts w:hint="eastAsia" w:ascii="仿宋_GB2312" w:hAnsi="仿宋_GB2312" w:eastAsia="仿宋_GB2312" w:cs="仿宋_GB2312"/>
          <w:sz w:val="30"/>
          <w:szCs w:val="30"/>
          <w:lang w:val="en-US" w:eastAsia="zh-CN"/>
        </w:rPr>
        <w:t>先生020-</w:t>
      </w:r>
      <w:r>
        <w:rPr>
          <w:rFonts w:hint="eastAsia" w:ascii="仿宋_GB2312" w:hAnsi="仿宋_GB2312" w:eastAsia="仿宋_GB2312" w:cs="仿宋_GB2312"/>
          <w:sz w:val="30"/>
          <w:szCs w:val="30"/>
        </w:rPr>
        <w:t>811626</w:t>
      </w:r>
      <w:r>
        <w:rPr>
          <w:rFonts w:hint="eastAsia" w:ascii="仿宋_GB2312" w:hAnsi="仿宋_GB2312" w:eastAsia="仿宋_GB2312" w:cs="仿宋_GB2312"/>
          <w:sz w:val="30"/>
          <w:szCs w:val="30"/>
          <w:lang w:val="en-US" w:eastAsia="zh-CN"/>
        </w:rPr>
        <w:t xml:space="preserve">81 </w:t>
      </w:r>
    </w:p>
    <w:p>
      <w:pPr>
        <w:numPr>
          <w:ilvl w:val="0"/>
          <w:numId w:val="3"/>
        </w:numPr>
        <w:spacing w:line="560" w:lineRule="exact"/>
        <w:ind w:left="0" w:leftChars="0"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邮寄地址：广州市越秀区文明路213号广东省立中山图书馆</w:t>
      </w:r>
      <w:r>
        <w:rPr>
          <w:rFonts w:hint="eastAsia" w:ascii="仿宋_GB2312" w:hAnsi="宋体" w:eastAsia="仿宋_GB2312" w:cs="Times New Roman"/>
          <w:sz w:val="32"/>
          <w:szCs w:val="32"/>
          <w:lang w:val="en-US" w:eastAsia="zh-CN"/>
        </w:rPr>
        <w:t>业务办公室</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附件：采购代理机构入库评审表</w:t>
      </w: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adjustRightInd w:val="0"/>
        <w:snapToGrid w:val="0"/>
        <w:spacing w:line="5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广东省立中山图书馆</w:t>
      </w:r>
      <w:r>
        <w:rPr>
          <w:rFonts w:hint="eastAsia" w:ascii="仿宋_GB2312" w:hAnsi="仿宋_GB2312" w:eastAsia="仿宋_GB2312" w:cs="仿宋_GB2312"/>
          <w:sz w:val="32"/>
          <w:szCs w:val="32"/>
          <w:lang w:val="en-US" w:eastAsia="zh-CN"/>
        </w:rPr>
        <w:t>（广东省古籍保护中心）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2024年3月4日</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rPr>
          <w:rFonts w:hint="eastAsia" w:ascii="方正小标宋简体" w:hAnsi="方正小标宋简体" w:eastAsia="方正小标宋简体" w:cs="方正小标宋简体"/>
          <w:b w:val="0"/>
          <w:bCs w:val="0"/>
          <w:snapToGrid w:val="0"/>
          <w:color w:val="000000"/>
          <w:spacing w:val="-4"/>
          <w:kern w:val="0"/>
          <w:sz w:val="36"/>
          <w:szCs w:val="36"/>
          <w:lang w:val="en-US"/>
        </w:rPr>
      </w:pPr>
      <w:r>
        <w:rPr>
          <w:rFonts w:hint="eastAsia" w:ascii="仿宋" w:hAnsi="仿宋" w:eastAsia="仿宋" w:cs="仿宋"/>
          <w:b/>
          <w:bCs/>
          <w:snapToGrid w:val="0"/>
          <w:color w:val="000000"/>
          <w:spacing w:val="-4"/>
          <w:kern w:val="0"/>
          <w:sz w:val="32"/>
          <w:szCs w:val="32"/>
          <w:lang w:val="en-US" w:eastAsia="zh-CN"/>
        </w:rPr>
        <w:t xml:space="preserve">附件：                 </w:t>
      </w:r>
      <w:r>
        <w:rPr>
          <w:rFonts w:hint="eastAsia" w:ascii="方正小标宋简体" w:hAnsi="方正小标宋简体" w:eastAsia="方正小标宋简体" w:cs="方正小标宋简体"/>
          <w:b w:val="0"/>
          <w:bCs w:val="0"/>
          <w:snapToGrid w:val="0"/>
          <w:color w:val="000000"/>
          <w:spacing w:val="-4"/>
          <w:kern w:val="0"/>
          <w:sz w:val="36"/>
          <w:szCs w:val="36"/>
          <w:lang w:val="en-US" w:eastAsia="zh-CN"/>
        </w:rPr>
        <w:t>入库评审表</w:t>
      </w:r>
    </w:p>
    <w:p>
      <w:pPr>
        <w:rPr>
          <w:rFonts w:ascii="仿宋" w:hAnsi="仿宋" w:eastAsia="仿宋" w:cs="仿宋"/>
          <w:b/>
          <w:bCs/>
          <w:snapToGrid w:val="0"/>
          <w:color w:val="000000"/>
          <w:spacing w:val="-4"/>
          <w:kern w:val="0"/>
          <w:sz w:val="32"/>
          <w:szCs w:val="32"/>
        </w:rPr>
      </w:pPr>
      <w:r>
        <w:rPr>
          <w:rFonts w:hint="eastAsia" w:ascii="仿宋" w:hAnsi="仿宋" w:eastAsia="仿宋" w:cs="仿宋"/>
          <w:b/>
          <w:bCs/>
          <w:snapToGrid w:val="0"/>
          <w:color w:val="000000"/>
          <w:spacing w:val="-4"/>
          <w:kern w:val="0"/>
          <w:sz w:val="32"/>
          <w:szCs w:val="32"/>
        </w:rPr>
        <w:t>（一）资格性及符合性审查要求</w:t>
      </w:r>
    </w:p>
    <w:tbl>
      <w:tblPr>
        <w:tblStyle w:val="8"/>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5"/>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365" w:type="dxa"/>
            <w:vAlign w:val="center"/>
          </w:tcPr>
          <w:p>
            <w:pPr>
              <w:pStyle w:val="7"/>
              <w:spacing w:before="21"/>
              <w:jc w:val="center"/>
              <w:rPr>
                <w:rFonts w:ascii="仿宋" w:hAnsi="仿宋" w:eastAsia="仿宋" w:cs="仿宋"/>
                <w:sz w:val="24"/>
                <w:szCs w:val="24"/>
                <w:lang w:eastAsia="zh-CN"/>
              </w:rPr>
            </w:pPr>
            <w:r>
              <w:rPr>
                <w:rFonts w:hint="eastAsia" w:ascii="仿宋" w:hAnsi="仿宋" w:eastAsia="仿宋" w:cs="仿宋"/>
                <w:b/>
                <w:bCs/>
                <w:sz w:val="24"/>
                <w:szCs w:val="24"/>
              </w:rPr>
              <w:t>评审</w:t>
            </w:r>
            <w:r>
              <w:rPr>
                <w:rFonts w:hint="eastAsia" w:ascii="仿宋" w:hAnsi="仿宋" w:eastAsia="仿宋" w:cs="仿宋"/>
                <w:b/>
                <w:bCs/>
                <w:sz w:val="24"/>
                <w:szCs w:val="24"/>
                <w:lang w:eastAsia="zh-CN"/>
              </w:rPr>
              <w:t>项目</w:t>
            </w:r>
          </w:p>
        </w:tc>
        <w:tc>
          <w:tcPr>
            <w:tcW w:w="7485" w:type="dxa"/>
            <w:vAlign w:val="center"/>
          </w:tcPr>
          <w:p>
            <w:pPr>
              <w:pStyle w:val="7"/>
              <w:spacing w:before="50"/>
              <w:jc w:val="center"/>
              <w:rPr>
                <w:rFonts w:ascii="仿宋" w:hAnsi="仿宋" w:eastAsia="仿宋" w:cs="仿宋"/>
                <w:sz w:val="24"/>
                <w:szCs w:val="24"/>
                <w:lang w:eastAsia="zh-CN"/>
              </w:rPr>
            </w:pPr>
            <w:r>
              <w:rPr>
                <w:rFonts w:hint="eastAsia" w:ascii="仿宋" w:hAnsi="仿宋" w:eastAsia="仿宋" w:cs="仿宋"/>
                <w:b/>
                <w:bCs/>
                <w:sz w:val="24"/>
                <w:szCs w:val="24"/>
              </w:rPr>
              <w:t>评审</w:t>
            </w:r>
            <w:r>
              <w:rPr>
                <w:rFonts w:hint="eastAsia" w:ascii="仿宋" w:hAnsi="仿宋" w:eastAsia="仿宋" w:cs="仿宋"/>
                <w:b/>
                <w:bCs/>
                <w:sz w:val="24"/>
                <w:szCs w:val="24"/>
                <w:lang w:eastAsia="zh-CN"/>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365" w:type="dxa"/>
            <w:vMerge w:val="restart"/>
            <w:vAlign w:val="center"/>
          </w:tcPr>
          <w:p>
            <w:pPr>
              <w:pStyle w:val="7"/>
              <w:spacing w:before="68"/>
              <w:ind w:left="25"/>
              <w:jc w:val="center"/>
              <w:rPr>
                <w:rFonts w:ascii="仿宋" w:hAnsi="仿宋" w:eastAsia="仿宋" w:cs="仿宋"/>
                <w:sz w:val="24"/>
                <w:szCs w:val="24"/>
              </w:rPr>
            </w:pPr>
            <w:r>
              <w:rPr>
                <w:rFonts w:hint="eastAsia" w:ascii="仿宋" w:hAnsi="仿宋" w:eastAsia="仿宋" w:cs="仿宋"/>
                <w:spacing w:val="2"/>
                <w:sz w:val="24"/>
                <w:szCs w:val="24"/>
              </w:rPr>
              <w:t>资格性</w:t>
            </w:r>
            <w:r>
              <w:rPr>
                <w:rFonts w:hint="eastAsia" w:ascii="仿宋" w:hAnsi="仿宋" w:eastAsia="仿宋" w:cs="仿宋"/>
                <w:spacing w:val="5"/>
                <w:sz w:val="24"/>
                <w:szCs w:val="24"/>
              </w:rPr>
              <w:t>审查</w:t>
            </w:r>
          </w:p>
        </w:tc>
        <w:tc>
          <w:tcPr>
            <w:tcW w:w="7485" w:type="dxa"/>
            <w:vAlign w:val="center"/>
          </w:tcPr>
          <w:p>
            <w:pPr>
              <w:pStyle w:val="7"/>
              <w:spacing w:before="70"/>
              <w:ind w:left="21"/>
              <w:jc w:val="both"/>
              <w:rPr>
                <w:rFonts w:ascii="仿宋" w:hAnsi="仿宋" w:eastAsia="仿宋" w:cs="仿宋"/>
                <w:sz w:val="24"/>
                <w:szCs w:val="24"/>
                <w:lang w:eastAsia="zh-CN"/>
              </w:rPr>
            </w:pPr>
            <w:r>
              <w:rPr>
                <w:rFonts w:hint="eastAsia" w:ascii="仿宋" w:hAnsi="仿宋" w:eastAsia="仿宋" w:cs="仿宋"/>
                <w:spacing w:val="-2"/>
                <w:sz w:val="24"/>
                <w:szCs w:val="24"/>
                <w:lang w:eastAsia="zh-CN"/>
              </w:rPr>
              <w:t>1.响应人应是中华人民共和国境内注册并合法运作的独立法</w:t>
            </w:r>
            <w:r>
              <w:rPr>
                <w:rFonts w:hint="eastAsia" w:ascii="仿宋" w:hAnsi="仿宋" w:eastAsia="仿宋" w:cs="仿宋"/>
                <w:spacing w:val="-10"/>
                <w:sz w:val="24"/>
                <w:szCs w:val="24"/>
                <w:lang w:eastAsia="zh-CN"/>
              </w:rPr>
              <w:t>人机构或其他组织，持有有效的企业法人营业执照及税务登记证</w:t>
            </w:r>
            <w:r>
              <w:rPr>
                <w:rFonts w:hint="eastAsia" w:ascii="仿宋" w:hAnsi="仿宋" w:eastAsia="仿宋" w:cs="仿宋"/>
                <w:sz w:val="24"/>
                <w:szCs w:val="24"/>
                <w:lang w:eastAsia="zh-CN"/>
              </w:rPr>
              <w:t>(若持有“一照一码”版本营业执照，则无</w:t>
            </w:r>
            <w:r>
              <w:rPr>
                <w:rFonts w:hint="eastAsia" w:ascii="仿宋" w:hAnsi="仿宋" w:eastAsia="仿宋" w:cs="仿宋"/>
                <w:spacing w:val="-1"/>
                <w:sz w:val="24"/>
                <w:szCs w:val="24"/>
                <w:lang w:eastAsia="zh-CN"/>
              </w:rPr>
              <w:t>需提交税务登记证)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365" w:type="dxa"/>
            <w:vMerge w:val="continue"/>
            <w:vAlign w:val="center"/>
          </w:tcPr>
          <w:p>
            <w:pPr>
              <w:adjustRightInd w:val="0"/>
              <w:snapToGrid w:val="0"/>
              <w:jc w:val="center"/>
              <w:rPr>
                <w:rFonts w:ascii="仿宋" w:hAnsi="仿宋" w:eastAsia="仿宋" w:cs="仿宋"/>
                <w:sz w:val="24"/>
              </w:rPr>
            </w:pPr>
          </w:p>
        </w:tc>
        <w:tc>
          <w:tcPr>
            <w:tcW w:w="7485" w:type="dxa"/>
            <w:vAlign w:val="center"/>
          </w:tcPr>
          <w:p>
            <w:pPr>
              <w:pStyle w:val="7"/>
              <w:spacing w:before="79"/>
              <w:jc w:val="both"/>
              <w:rPr>
                <w:rFonts w:ascii="仿宋" w:hAnsi="仿宋" w:eastAsia="仿宋" w:cs="仿宋"/>
                <w:sz w:val="24"/>
                <w:szCs w:val="24"/>
                <w:lang w:eastAsia="zh-CN"/>
              </w:rPr>
            </w:pPr>
            <w:r>
              <w:rPr>
                <w:rFonts w:hint="eastAsia" w:ascii="仿宋" w:hAnsi="仿宋" w:eastAsia="仿宋" w:cs="仿宋"/>
                <w:spacing w:val="-9"/>
                <w:sz w:val="24"/>
                <w:szCs w:val="24"/>
                <w:lang w:eastAsia="zh-CN"/>
              </w:rPr>
              <w:t>2.响应人已在广东省政府采购网</w:t>
            </w:r>
            <w:r>
              <w:rPr>
                <w:rFonts w:hint="eastAsia" w:ascii="仿宋" w:hAnsi="仿宋" w:eastAsia="仿宋" w:cs="仿宋"/>
                <w:sz w:val="24"/>
                <w:szCs w:val="24"/>
                <w:lang w:eastAsia="zh-CN"/>
              </w:rPr>
              <w:t>、广州公共资源交易中</w:t>
            </w:r>
            <w:r>
              <w:rPr>
                <w:rFonts w:hint="eastAsia" w:ascii="仿宋" w:hAnsi="仿宋" w:eastAsia="仿宋" w:cs="仿宋"/>
                <w:spacing w:val="-1"/>
                <w:sz w:val="24"/>
                <w:szCs w:val="24"/>
                <w:lang w:eastAsia="zh-CN"/>
              </w:rPr>
              <w:t>心网站</w:t>
            </w:r>
            <w:r>
              <w:rPr>
                <w:rFonts w:hint="eastAsia" w:ascii="仿宋" w:hAnsi="仿宋" w:eastAsia="仿宋" w:cs="仿宋"/>
                <w:spacing w:val="-7"/>
                <w:sz w:val="24"/>
                <w:szCs w:val="24"/>
                <w:lang w:eastAsia="zh-CN"/>
              </w:rPr>
              <w:t>登</w:t>
            </w:r>
            <w:r>
              <w:rPr>
                <w:rFonts w:hint="eastAsia" w:ascii="仿宋" w:hAnsi="仿宋" w:eastAsia="仿宋" w:cs="仿宋"/>
                <w:spacing w:val="-8"/>
                <w:sz w:val="24"/>
                <w:szCs w:val="24"/>
                <w:lang w:eastAsia="zh-CN"/>
              </w:rPr>
              <w:t>记备案，并且开通操作账户，</w:t>
            </w:r>
            <w:r>
              <w:rPr>
                <w:rFonts w:hint="eastAsia" w:ascii="仿宋" w:hAnsi="仿宋" w:eastAsia="仿宋" w:cs="仿宋"/>
                <w:spacing w:val="-4"/>
                <w:sz w:val="24"/>
                <w:szCs w:val="24"/>
                <w:lang w:eastAsia="zh-CN"/>
              </w:rPr>
              <w:t>投标时提交相关网站信息截图复印件，加盖公章。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1365" w:type="dxa"/>
            <w:vMerge w:val="continue"/>
            <w:vAlign w:val="center"/>
          </w:tcPr>
          <w:p>
            <w:pPr>
              <w:adjustRightInd w:val="0"/>
              <w:snapToGrid w:val="0"/>
              <w:jc w:val="center"/>
              <w:rPr>
                <w:rFonts w:ascii="仿宋" w:hAnsi="仿宋" w:eastAsia="仿宋" w:cs="仿宋"/>
                <w:sz w:val="24"/>
              </w:rPr>
            </w:pPr>
          </w:p>
        </w:tc>
        <w:tc>
          <w:tcPr>
            <w:tcW w:w="7485" w:type="dxa"/>
            <w:vAlign w:val="center"/>
          </w:tcPr>
          <w:p>
            <w:pPr>
              <w:pStyle w:val="7"/>
              <w:spacing w:before="79"/>
              <w:ind w:left="11"/>
              <w:jc w:val="both"/>
              <w:rPr>
                <w:rFonts w:ascii="仿宋" w:hAnsi="仿宋" w:eastAsia="仿宋" w:cs="仿宋"/>
                <w:sz w:val="24"/>
                <w:szCs w:val="24"/>
                <w:lang w:eastAsia="zh-CN"/>
              </w:rPr>
            </w:pPr>
            <w:r>
              <w:rPr>
                <w:rFonts w:hint="eastAsia" w:ascii="仿宋" w:hAnsi="仿宋" w:eastAsia="仿宋" w:cs="仿宋"/>
                <w:spacing w:val="-11"/>
                <w:sz w:val="24"/>
                <w:szCs w:val="24"/>
                <w:lang w:eastAsia="zh-CN"/>
              </w:rPr>
              <w:t>3.响应人具有中国招标投标公共服务平台</w:t>
            </w:r>
            <w:r>
              <w:rPr>
                <w:rFonts w:hint="eastAsia" w:ascii="仿宋" w:hAnsi="仿宋" w:eastAsia="仿宋" w:cs="仿宋"/>
                <w:spacing w:val="-6"/>
                <w:sz w:val="24"/>
                <w:szCs w:val="24"/>
                <w:lang w:eastAsia="zh-CN"/>
              </w:rPr>
              <w:t>发布信息权限，并且开通系统</w:t>
            </w:r>
            <w:r>
              <w:rPr>
                <w:rFonts w:hint="eastAsia" w:ascii="仿宋" w:hAnsi="仿宋" w:eastAsia="仿宋" w:cs="仿宋"/>
                <w:spacing w:val="-1"/>
                <w:sz w:val="24"/>
                <w:szCs w:val="24"/>
                <w:lang w:eastAsia="zh-CN"/>
              </w:rPr>
              <w:t>操作账户，投标时提交相关网站信息截图复印件，加盖公章。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1365" w:type="dxa"/>
            <w:vMerge w:val="continue"/>
            <w:vAlign w:val="center"/>
          </w:tcPr>
          <w:p>
            <w:pPr>
              <w:adjustRightInd w:val="0"/>
              <w:snapToGrid w:val="0"/>
              <w:jc w:val="center"/>
              <w:rPr>
                <w:rFonts w:ascii="仿宋" w:hAnsi="仿宋" w:eastAsia="仿宋" w:cs="仿宋"/>
                <w:sz w:val="24"/>
              </w:rPr>
            </w:pPr>
          </w:p>
        </w:tc>
        <w:tc>
          <w:tcPr>
            <w:tcW w:w="7485" w:type="dxa"/>
            <w:vAlign w:val="center"/>
          </w:tcPr>
          <w:p>
            <w:pPr>
              <w:pStyle w:val="7"/>
              <w:spacing w:before="52"/>
              <w:ind w:left="11"/>
              <w:jc w:val="both"/>
              <w:rPr>
                <w:rFonts w:ascii="仿宋" w:hAnsi="仿宋" w:eastAsia="仿宋" w:cs="仿宋"/>
                <w:sz w:val="24"/>
                <w:szCs w:val="24"/>
                <w:lang w:eastAsia="zh-CN"/>
              </w:rPr>
            </w:pPr>
            <w:r>
              <w:rPr>
                <w:rFonts w:hint="eastAsia" w:ascii="仿宋" w:hAnsi="仿宋" w:eastAsia="仿宋" w:cs="仿宋"/>
                <w:spacing w:val="-1"/>
                <w:sz w:val="24"/>
                <w:szCs w:val="24"/>
              </w:rPr>
              <w:t>4.响应人没有被列入失信被执行</w:t>
            </w:r>
            <w:r>
              <w:rPr>
                <w:rFonts w:hint="eastAsia" w:ascii="仿宋" w:hAnsi="仿宋" w:eastAsia="仿宋" w:cs="仿宋"/>
                <w:spacing w:val="-16"/>
                <w:sz w:val="24"/>
                <w:szCs w:val="24"/>
              </w:rPr>
              <w:t>人、重大</w:t>
            </w:r>
            <w:r>
              <w:rPr>
                <w:rFonts w:hint="eastAsia" w:ascii="仿宋" w:hAnsi="仿宋" w:eastAsia="仿宋" w:cs="仿宋"/>
                <w:spacing w:val="-15"/>
                <w:sz w:val="24"/>
                <w:szCs w:val="24"/>
              </w:rPr>
              <w:t>税收违法</w:t>
            </w:r>
            <w:r>
              <w:rPr>
                <w:rFonts w:hint="eastAsia" w:ascii="仿宋" w:hAnsi="仿宋" w:eastAsia="仿宋" w:cs="仿宋"/>
                <w:spacing w:val="-15"/>
                <w:sz w:val="24"/>
                <w:szCs w:val="24"/>
                <w:lang w:eastAsia="zh-CN"/>
              </w:rPr>
              <w:t>失信主体</w:t>
            </w:r>
            <w:r>
              <w:rPr>
                <w:rFonts w:hint="eastAsia" w:ascii="仿宋" w:hAnsi="仿宋" w:eastAsia="仿宋" w:cs="仿宋"/>
                <w:spacing w:val="-15"/>
                <w:sz w:val="24"/>
                <w:szCs w:val="24"/>
              </w:rPr>
              <w:t>、政府采购严重违约失信行为</w:t>
            </w:r>
            <w:r>
              <w:rPr>
                <w:rFonts w:hint="eastAsia" w:ascii="仿宋" w:hAnsi="仿宋" w:eastAsia="仿宋" w:cs="仿宋"/>
                <w:spacing w:val="-11"/>
                <w:sz w:val="24"/>
                <w:szCs w:val="24"/>
              </w:rPr>
              <w:t>记</w:t>
            </w:r>
            <w:r>
              <w:rPr>
                <w:rFonts w:hint="eastAsia" w:ascii="仿宋" w:hAnsi="仿宋" w:eastAsia="仿宋" w:cs="仿宋"/>
                <w:spacing w:val="-3"/>
                <w:sz w:val="24"/>
                <w:szCs w:val="24"/>
              </w:rPr>
              <w:t>录名单(供应商提供以信用中国网站www.creditchina.gov.cn或</w:t>
            </w:r>
            <w:r>
              <w:rPr>
                <w:rFonts w:hint="eastAsia" w:ascii="仿宋" w:hAnsi="仿宋" w:eastAsia="仿宋" w:cs="仿宋"/>
                <w:sz w:val="24"/>
                <w:szCs w:val="24"/>
              </w:rPr>
              <w:t>中国政府采购网www.ccgp.gov.cn查询结果截图并加盖</w:t>
            </w:r>
            <w:r>
              <w:rPr>
                <w:rFonts w:hint="eastAsia" w:ascii="仿宋" w:hAnsi="仿宋" w:eastAsia="仿宋" w:cs="仿宋"/>
                <w:spacing w:val="-1"/>
                <w:sz w:val="24"/>
                <w:szCs w:val="24"/>
              </w:rPr>
              <w:t>公章为</w:t>
            </w:r>
            <w:r>
              <w:rPr>
                <w:rFonts w:hint="eastAsia" w:ascii="仿宋" w:hAnsi="仿宋" w:eastAsia="仿宋" w:cs="仿宋"/>
                <w:spacing w:val="-6"/>
                <w:sz w:val="24"/>
                <w:szCs w:val="24"/>
              </w:rPr>
              <w:t>准)</w:t>
            </w:r>
            <w:r>
              <w:rPr>
                <w:rFonts w:hint="eastAsia" w:ascii="仿宋" w:hAnsi="仿宋" w:eastAsia="仿宋" w:cs="仿宋"/>
                <w:spacing w:val="-6"/>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365" w:type="dxa"/>
            <w:vMerge w:val="continue"/>
            <w:vAlign w:val="center"/>
          </w:tcPr>
          <w:p>
            <w:pPr>
              <w:adjustRightInd w:val="0"/>
              <w:snapToGrid w:val="0"/>
              <w:jc w:val="center"/>
              <w:rPr>
                <w:rFonts w:ascii="仿宋" w:hAnsi="仿宋" w:eastAsia="仿宋" w:cs="仿宋"/>
                <w:sz w:val="24"/>
              </w:rPr>
            </w:pPr>
          </w:p>
        </w:tc>
        <w:tc>
          <w:tcPr>
            <w:tcW w:w="7485" w:type="dxa"/>
            <w:vAlign w:val="center"/>
          </w:tcPr>
          <w:p>
            <w:pPr>
              <w:pStyle w:val="7"/>
              <w:spacing w:before="53"/>
              <w:ind w:left="11"/>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5.有固定办公场所(自有或租用)及拥有</w:t>
            </w:r>
            <w:r>
              <w:rPr>
                <w:rFonts w:hint="eastAsia" w:ascii="仿宋" w:hAnsi="仿宋" w:eastAsia="仿宋" w:cs="仿宋"/>
                <w:spacing w:val="-2"/>
                <w:sz w:val="24"/>
                <w:szCs w:val="24"/>
                <w:lang w:eastAsia="zh-CN"/>
              </w:rPr>
              <w:t>熟悉政府采购法律法</w:t>
            </w:r>
            <w:r>
              <w:rPr>
                <w:rFonts w:hint="eastAsia" w:ascii="仿宋" w:hAnsi="仿宋" w:eastAsia="仿宋" w:cs="仿宋"/>
                <w:spacing w:val="-15"/>
                <w:sz w:val="24"/>
                <w:szCs w:val="24"/>
                <w:lang w:eastAsia="zh-CN"/>
              </w:rPr>
              <w:t>规、具备编制采购文件和组织采购活动等相应能力的专职从业人员</w:t>
            </w:r>
            <w:r>
              <w:rPr>
                <w:rFonts w:hint="eastAsia" w:ascii="仿宋" w:hAnsi="仿宋" w:eastAsia="仿宋" w:cs="仿宋"/>
                <w:spacing w:val="4"/>
                <w:sz w:val="24"/>
                <w:szCs w:val="24"/>
                <w:lang w:eastAsia="zh-CN"/>
              </w:rPr>
              <w:t>(响应人提供书面声明函)。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1365" w:type="dxa"/>
            <w:vMerge w:val="continue"/>
            <w:vAlign w:val="center"/>
          </w:tcPr>
          <w:p>
            <w:pPr>
              <w:adjustRightInd w:val="0"/>
              <w:snapToGrid w:val="0"/>
              <w:jc w:val="center"/>
              <w:rPr>
                <w:rFonts w:ascii="仿宋" w:hAnsi="仿宋" w:eastAsia="仿宋" w:cs="仿宋"/>
                <w:sz w:val="24"/>
              </w:rPr>
            </w:pPr>
          </w:p>
        </w:tc>
        <w:tc>
          <w:tcPr>
            <w:tcW w:w="7485" w:type="dxa"/>
            <w:vAlign w:val="center"/>
          </w:tcPr>
          <w:p>
            <w:pPr>
              <w:pStyle w:val="7"/>
              <w:spacing w:before="203"/>
              <w:ind w:right="2"/>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6.具有健全的财务会计制度、依法缴纳税收、依法缴纳社会保障资金(响应人提供书面声明函)。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365" w:type="dxa"/>
            <w:vMerge w:val="continue"/>
            <w:vAlign w:val="center"/>
          </w:tcPr>
          <w:p>
            <w:pPr>
              <w:adjustRightInd w:val="0"/>
              <w:snapToGrid w:val="0"/>
              <w:jc w:val="center"/>
              <w:rPr>
                <w:rFonts w:ascii="仿宋" w:hAnsi="仿宋" w:eastAsia="仿宋" w:cs="仿宋"/>
                <w:sz w:val="24"/>
              </w:rPr>
            </w:pPr>
          </w:p>
        </w:tc>
        <w:tc>
          <w:tcPr>
            <w:tcW w:w="7485" w:type="dxa"/>
            <w:vAlign w:val="center"/>
          </w:tcPr>
          <w:p>
            <w:pPr>
              <w:pStyle w:val="7"/>
              <w:spacing w:before="68"/>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7.单位负责人为同一人或者存在控股、管理关系的不同单位，不得同时参加本次遴选活动(响应人提供书面声明函)。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1365" w:type="dxa"/>
            <w:vMerge w:val="continue"/>
            <w:vAlign w:val="center"/>
          </w:tcPr>
          <w:p>
            <w:pPr>
              <w:adjustRightInd w:val="0"/>
              <w:snapToGrid w:val="0"/>
              <w:jc w:val="center"/>
              <w:rPr>
                <w:rFonts w:ascii="仿宋" w:hAnsi="仿宋" w:eastAsia="仿宋" w:cs="仿宋"/>
                <w:sz w:val="24"/>
              </w:rPr>
            </w:pPr>
          </w:p>
        </w:tc>
        <w:tc>
          <w:tcPr>
            <w:tcW w:w="7485" w:type="dxa"/>
            <w:vAlign w:val="center"/>
          </w:tcPr>
          <w:p>
            <w:pPr>
              <w:pStyle w:val="7"/>
              <w:spacing w:before="69"/>
              <w:jc w:val="both"/>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8.不接受联合体报名参加。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1365" w:type="dxa"/>
            <w:vMerge w:val="restart"/>
            <w:vAlign w:val="center"/>
          </w:tcPr>
          <w:p>
            <w:pPr>
              <w:pStyle w:val="7"/>
              <w:spacing w:before="68"/>
              <w:ind w:left="25"/>
              <w:jc w:val="center"/>
              <w:rPr>
                <w:rFonts w:ascii="仿宋" w:hAnsi="仿宋" w:eastAsia="仿宋" w:cs="仿宋"/>
                <w:sz w:val="24"/>
                <w:szCs w:val="24"/>
              </w:rPr>
            </w:pPr>
            <w:r>
              <w:rPr>
                <w:rFonts w:hint="eastAsia" w:ascii="仿宋" w:hAnsi="仿宋" w:eastAsia="仿宋" w:cs="仿宋"/>
                <w:spacing w:val="-3"/>
                <w:sz w:val="24"/>
                <w:szCs w:val="24"/>
              </w:rPr>
              <w:t>符合性</w:t>
            </w:r>
            <w:r>
              <w:rPr>
                <w:rFonts w:hint="eastAsia" w:ascii="仿宋" w:hAnsi="仿宋" w:eastAsia="仿宋" w:cs="仿宋"/>
                <w:spacing w:val="5"/>
                <w:sz w:val="24"/>
                <w:szCs w:val="24"/>
              </w:rPr>
              <w:t>审查</w:t>
            </w:r>
          </w:p>
        </w:tc>
        <w:tc>
          <w:tcPr>
            <w:tcW w:w="7485" w:type="dxa"/>
            <w:vAlign w:val="center"/>
          </w:tcPr>
          <w:p>
            <w:pPr>
              <w:pStyle w:val="7"/>
              <w:spacing w:before="69"/>
              <w:jc w:val="both"/>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1.符合遴选文件规定的签署及盖章。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365" w:type="dxa"/>
            <w:vMerge w:val="continue"/>
          </w:tcPr>
          <w:p>
            <w:pPr>
              <w:adjustRightInd w:val="0"/>
              <w:snapToGrid w:val="0"/>
              <w:jc w:val="center"/>
              <w:rPr>
                <w:rFonts w:ascii="仿宋" w:hAnsi="仿宋" w:eastAsia="仿宋" w:cs="仿宋"/>
                <w:sz w:val="24"/>
              </w:rPr>
            </w:pPr>
          </w:p>
        </w:tc>
        <w:tc>
          <w:tcPr>
            <w:tcW w:w="7485" w:type="dxa"/>
            <w:vAlign w:val="center"/>
          </w:tcPr>
          <w:p>
            <w:pPr>
              <w:pStyle w:val="7"/>
              <w:spacing w:before="69"/>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2.没有其他不符合遴选文件要求的事项。</w:t>
            </w:r>
          </w:p>
        </w:tc>
      </w:tr>
    </w:tbl>
    <w:p/>
    <w:p>
      <w:pPr>
        <w:rPr>
          <w:rFonts w:ascii="仿宋" w:hAnsi="仿宋" w:eastAsia="仿宋" w:cs="仿宋"/>
          <w:b/>
          <w:bCs/>
          <w:snapToGrid w:val="0"/>
          <w:color w:val="000000"/>
          <w:spacing w:val="-4"/>
          <w:kern w:val="0"/>
          <w:sz w:val="32"/>
          <w:szCs w:val="32"/>
        </w:rPr>
      </w:pPr>
      <w:r>
        <w:rPr>
          <w:rFonts w:hint="eastAsia" w:ascii="仿宋" w:hAnsi="仿宋" w:eastAsia="仿宋" w:cs="仿宋"/>
          <w:b/>
          <w:bCs/>
          <w:snapToGrid w:val="0"/>
          <w:color w:val="000000"/>
          <w:spacing w:val="-4"/>
          <w:kern w:val="0"/>
          <w:sz w:val="32"/>
          <w:szCs w:val="32"/>
        </w:rPr>
        <w:br w:type="page"/>
      </w:r>
    </w:p>
    <w:p>
      <w:pPr>
        <w:rPr>
          <w:rFonts w:ascii="仿宋" w:hAnsi="仿宋" w:eastAsia="仿宋" w:cs="仿宋"/>
          <w:b/>
          <w:bCs/>
          <w:snapToGrid w:val="0"/>
          <w:color w:val="000000"/>
          <w:spacing w:val="-4"/>
          <w:kern w:val="0"/>
          <w:sz w:val="32"/>
          <w:szCs w:val="32"/>
        </w:rPr>
      </w:pPr>
      <w:r>
        <w:rPr>
          <w:rFonts w:hint="eastAsia" w:ascii="仿宋" w:hAnsi="仿宋" w:eastAsia="仿宋" w:cs="仿宋"/>
          <w:b/>
          <w:bCs/>
          <w:snapToGrid w:val="0"/>
          <w:color w:val="000000"/>
          <w:spacing w:val="-4"/>
          <w:kern w:val="0"/>
          <w:sz w:val="32"/>
          <w:szCs w:val="32"/>
        </w:rPr>
        <w:t>（二）商务技术评审表</w:t>
      </w:r>
    </w:p>
    <w:tbl>
      <w:tblPr>
        <w:tblStyle w:val="8"/>
        <w:tblW w:w="5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2"/>
        <w:gridCol w:w="644"/>
        <w:gridCol w:w="1204"/>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15" w:type="pct"/>
            <w:vAlign w:val="center"/>
          </w:tcPr>
          <w:p>
            <w:pPr>
              <w:pStyle w:val="7"/>
              <w:jc w:val="center"/>
              <w:rPr>
                <w:rFonts w:ascii="仿宋" w:hAnsi="仿宋" w:eastAsia="仿宋" w:cs="仿宋"/>
                <w:sz w:val="24"/>
                <w:szCs w:val="24"/>
              </w:rPr>
            </w:pPr>
            <w:r>
              <w:rPr>
                <w:rFonts w:hint="eastAsia" w:ascii="仿宋" w:hAnsi="仿宋" w:eastAsia="仿宋" w:cs="仿宋"/>
                <w:b/>
                <w:bCs/>
                <w:spacing w:val="-8"/>
                <w:sz w:val="24"/>
                <w:szCs w:val="24"/>
              </w:rPr>
              <w:t>类</w:t>
            </w:r>
            <w:r>
              <w:rPr>
                <w:rFonts w:hint="eastAsia" w:ascii="仿宋" w:hAnsi="仿宋" w:eastAsia="仿宋" w:cs="仿宋"/>
                <w:spacing w:val="34"/>
                <w:sz w:val="24"/>
                <w:szCs w:val="24"/>
              </w:rPr>
              <w:t xml:space="preserve"> </w:t>
            </w:r>
            <w:r>
              <w:rPr>
                <w:rFonts w:hint="eastAsia" w:ascii="仿宋" w:hAnsi="仿宋" w:eastAsia="仿宋" w:cs="仿宋"/>
                <w:b/>
                <w:bCs/>
                <w:spacing w:val="-8"/>
                <w:sz w:val="24"/>
                <w:szCs w:val="24"/>
              </w:rPr>
              <w:t>别</w:t>
            </w:r>
          </w:p>
        </w:tc>
        <w:tc>
          <w:tcPr>
            <w:tcW w:w="318" w:type="pct"/>
            <w:vAlign w:val="center"/>
          </w:tcPr>
          <w:p>
            <w:pPr>
              <w:pStyle w:val="7"/>
              <w:jc w:val="center"/>
              <w:rPr>
                <w:rFonts w:ascii="仿宋" w:hAnsi="仿宋" w:eastAsia="仿宋" w:cs="仿宋"/>
                <w:sz w:val="24"/>
                <w:szCs w:val="24"/>
              </w:rPr>
            </w:pPr>
            <w:r>
              <w:rPr>
                <w:rFonts w:hint="eastAsia" w:ascii="仿宋" w:hAnsi="仿宋" w:eastAsia="仿宋" w:cs="仿宋"/>
                <w:b/>
                <w:bCs/>
                <w:spacing w:val="-6"/>
                <w:sz w:val="24"/>
                <w:szCs w:val="24"/>
              </w:rPr>
              <w:t>分数</w:t>
            </w:r>
          </w:p>
        </w:tc>
        <w:tc>
          <w:tcPr>
            <w:tcW w:w="595" w:type="pct"/>
            <w:vAlign w:val="center"/>
          </w:tcPr>
          <w:p>
            <w:pPr>
              <w:pStyle w:val="7"/>
              <w:jc w:val="center"/>
              <w:rPr>
                <w:rFonts w:ascii="仿宋" w:hAnsi="仿宋" w:eastAsia="仿宋" w:cs="仿宋"/>
                <w:sz w:val="24"/>
                <w:szCs w:val="24"/>
              </w:rPr>
            </w:pPr>
            <w:r>
              <w:rPr>
                <w:rFonts w:hint="eastAsia" w:ascii="仿宋" w:hAnsi="仿宋" w:eastAsia="仿宋" w:cs="仿宋"/>
                <w:b/>
                <w:bCs/>
                <w:spacing w:val="-5"/>
                <w:sz w:val="24"/>
                <w:szCs w:val="24"/>
              </w:rPr>
              <w:t>分项内容</w:t>
            </w:r>
          </w:p>
        </w:tc>
        <w:tc>
          <w:tcPr>
            <w:tcW w:w="3572" w:type="pct"/>
            <w:vAlign w:val="center"/>
          </w:tcPr>
          <w:p>
            <w:pPr>
              <w:pStyle w:val="7"/>
              <w:jc w:val="center"/>
              <w:rPr>
                <w:rFonts w:ascii="仿宋" w:hAnsi="仿宋" w:eastAsia="仿宋" w:cs="仿宋"/>
                <w:sz w:val="24"/>
                <w:szCs w:val="24"/>
              </w:rPr>
            </w:pPr>
            <w:r>
              <w:rPr>
                <w:rFonts w:hint="eastAsia" w:ascii="仿宋" w:hAnsi="仿宋" w:eastAsia="仿宋" w:cs="仿宋"/>
                <w:b/>
                <w:bCs/>
                <w:spacing w:val="-11"/>
                <w:sz w:val="24"/>
                <w:szCs w:val="24"/>
              </w:rPr>
              <w:t>评</w:t>
            </w:r>
            <w:r>
              <w:rPr>
                <w:rFonts w:hint="eastAsia" w:ascii="仿宋" w:hAnsi="仿宋" w:eastAsia="仿宋" w:cs="仿宋"/>
                <w:spacing w:val="10"/>
                <w:sz w:val="24"/>
                <w:szCs w:val="24"/>
              </w:rPr>
              <w:t xml:space="preserve">  </w:t>
            </w:r>
            <w:r>
              <w:rPr>
                <w:rFonts w:hint="eastAsia" w:ascii="仿宋" w:hAnsi="仿宋" w:eastAsia="仿宋" w:cs="仿宋"/>
                <w:b/>
                <w:bCs/>
                <w:spacing w:val="-11"/>
                <w:sz w:val="24"/>
                <w:szCs w:val="24"/>
              </w:rPr>
              <w:t>分</w:t>
            </w:r>
            <w:r>
              <w:rPr>
                <w:rFonts w:hint="eastAsia" w:ascii="仿宋" w:hAnsi="仿宋" w:eastAsia="仿宋" w:cs="仿宋"/>
                <w:spacing w:val="11"/>
                <w:sz w:val="24"/>
                <w:szCs w:val="24"/>
              </w:rPr>
              <w:t xml:space="preserve">  </w:t>
            </w:r>
            <w:r>
              <w:rPr>
                <w:rFonts w:hint="eastAsia" w:ascii="仿宋" w:hAnsi="仿宋" w:eastAsia="仿宋" w:cs="仿宋"/>
                <w:b/>
                <w:bCs/>
                <w:spacing w:val="-11"/>
                <w:sz w:val="24"/>
                <w:szCs w:val="24"/>
              </w:rPr>
              <w:t>说</w:t>
            </w:r>
            <w:r>
              <w:rPr>
                <w:rFonts w:hint="eastAsia" w:ascii="仿宋" w:hAnsi="仿宋" w:eastAsia="仿宋" w:cs="仿宋"/>
                <w:spacing w:val="21"/>
                <w:sz w:val="24"/>
                <w:szCs w:val="24"/>
              </w:rPr>
              <w:t xml:space="preserve">  </w:t>
            </w:r>
            <w:r>
              <w:rPr>
                <w:rFonts w:hint="eastAsia" w:ascii="仿宋" w:hAnsi="仿宋" w:eastAsia="仿宋" w:cs="仿宋"/>
                <w:b/>
                <w:bCs/>
                <w:spacing w:val="-11"/>
                <w:sz w:val="24"/>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1" w:hRule="atLeast"/>
          <w:jc w:val="center"/>
        </w:trPr>
        <w:tc>
          <w:tcPr>
            <w:tcW w:w="515" w:type="pct"/>
            <w:vMerge w:val="restart"/>
            <w:vAlign w:val="center"/>
          </w:tcPr>
          <w:p>
            <w:pPr>
              <w:pStyle w:val="7"/>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一、招标代理服务方案</w:t>
            </w:r>
          </w:p>
        </w:tc>
        <w:tc>
          <w:tcPr>
            <w:tcW w:w="318" w:type="pct"/>
            <w:vMerge w:val="restart"/>
            <w:vAlign w:val="center"/>
          </w:tcPr>
          <w:p>
            <w:pPr>
              <w:pStyle w:val="7"/>
              <w:jc w:val="center"/>
              <w:rPr>
                <w:rFonts w:ascii="仿宋" w:hAnsi="仿宋" w:eastAsia="仿宋" w:cs="仿宋"/>
                <w:sz w:val="24"/>
                <w:szCs w:val="24"/>
              </w:rPr>
            </w:pPr>
            <w:r>
              <w:rPr>
                <w:rFonts w:hint="eastAsia" w:ascii="仿宋" w:hAnsi="仿宋" w:eastAsia="仿宋" w:cs="仿宋"/>
                <w:spacing w:val="3"/>
                <w:sz w:val="24"/>
                <w:szCs w:val="24"/>
                <w:lang w:eastAsia="zh-CN"/>
              </w:rPr>
              <w:t>28</w:t>
            </w:r>
            <w:r>
              <w:rPr>
                <w:rFonts w:hint="eastAsia" w:ascii="仿宋" w:hAnsi="仿宋" w:eastAsia="仿宋" w:cs="仿宋"/>
                <w:spacing w:val="3"/>
                <w:sz w:val="24"/>
                <w:szCs w:val="24"/>
              </w:rPr>
              <w:t>分</w:t>
            </w: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内控架构         (6分)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根据响应人提供的单位组织架构图、单位内控管理制度进行评分，考核招标代理机构在文件编制、审核、开评标、质疑投诉处理等重点环节的岗位设置，确保岗位分工明确，重点岗位相互分离，相互监督、制约，保证招标采购过程的公平、公正：</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(1)组织架构完整，分工明确、合理，得6分；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(2)组织架构较完整，分工较明确、合理，得4分；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(3)组织架构简单，分工不明确、不合理，得1分；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(4)未提供或其他情况不得分。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515" w:type="pct"/>
            <w:vMerge w:val="continue"/>
            <w:vAlign w:val="center"/>
          </w:tcPr>
          <w:p>
            <w:pPr>
              <w:pStyle w:val="7"/>
              <w:jc w:val="center"/>
              <w:rPr>
                <w:rFonts w:ascii="仿宋" w:hAnsi="仿宋" w:eastAsia="仿宋" w:cs="仿宋"/>
                <w:spacing w:val="-3"/>
                <w:sz w:val="24"/>
                <w:szCs w:val="24"/>
                <w:lang w:eastAsia="zh-CN"/>
              </w:rPr>
            </w:pPr>
          </w:p>
        </w:tc>
        <w:tc>
          <w:tcPr>
            <w:tcW w:w="318" w:type="pct"/>
            <w:vMerge w:val="continue"/>
            <w:vAlign w:val="center"/>
          </w:tcPr>
          <w:p>
            <w:pPr>
              <w:adjustRightInd w:val="0"/>
              <w:snapToGrid w:val="0"/>
              <w:jc w:val="center"/>
              <w:rPr>
                <w:rFonts w:ascii="仿宋" w:hAnsi="仿宋" w:eastAsia="仿宋" w:cs="仿宋"/>
                <w:sz w:val="24"/>
              </w:rPr>
            </w:pP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服务方案(6分)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根据响应人提供的服务方案进行评分：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(1)充分理解项目要求，方案完整具体、针对性强、可行性高，得6分；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(2)较好理解项目要求，方案较完整具体、针对性较强、可行性较高，得4分；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(3)对项目要求的理解欠缺，方案完整性、具体性、针对性、可行性一般，得1分；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(4)未提供或其他情况不得分。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0" w:hRule="atLeast"/>
          <w:jc w:val="center"/>
        </w:trPr>
        <w:tc>
          <w:tcPr>
            <w:tcW w:w="515" w:type="pct"/>
            <w:vMerge w:val="continue"/>
            <w:vAlign w:val="center"/>
          </w:tcPr>
          <w:p>
            <w:pPr>
              <w:pStyle w:val="7"/>
              <w:jc w:val="center"/>
              <w:rPr>
                <w:rFonts w:ascii="仿宋" w:hAnsi="仿宋" w:eastAsia="仿宋" w:cs="仿宋"/>
                <w:spacing w:val="-3"/>
                <w:sz w:val="24"/>
                <w:szCs w:val="24"/>
                <w:lang w:eastAsia="zh-CN"/>
              </w:rPr>
            </w:pPr>
          </w:p>
        </w:tc>
        <w:tc>
          <w:tcPr>
            <w:tcW w:w="318" w:type="pct"/>
            <w:vMerge w:val="continue"/>
            <w:vAlign w:val="center"/>
          </w:tcPr>
          <w:p>
            <w:pPr>
              <w:adjustRightInd w:val="0"/>
              <w:snapToGrid w:val="0"/>
              <w:jc w:val="center"/>
              <w:rPr>
                <w:rFonts w:ascii="仿宋" w:hAnsi="仿宋" w:eastAsia="仿宋" w:cs="仿宋"/>
                <w:sz w:val="24"/>
              </w:rPr>
            </w:pP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保密及廉政管理方案</w:t>
            </w:r>
          </w:p>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(5分)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根据响应人保密工作及廉政风险防范方案进行评分: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(1)方案完整具体、针对性强、可行性高，得5分；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(2)方案较完整具体、针对性较强、可行性较高，得3分；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(3)方案完整性、具体性、针对性、可行性一般，得1分；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(4)未提供或其他情况不得分。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15" w:type="pct"/>
            <w:vMerge w:val="continue"/>
            <w:vAlign w:val="center"/>
          </w:tcPr>
          <w:p>
            <w:pPr>
              <w:pStyle w:val="7"/>
              <w:jc w:val="center"/>
              <w:rPr>
                <w:rFonts w:ascii="仿宋" w:hAnsi="仿宋" w:eastAsia="仿宋" w:cs="仿宋"/>
                <w:spacing w:val="-3"/>
                <w:sz w:val="24"/>
                <w:szCs w:val="24"/>
                <w:lang w:eastAsia="zh-CN"/>
              </w:rPr>
            </w:pPr>
          </w:p>
        </w:tc>
        <w:tc>
          <w:tcPr>
            <w:tcW w:w="318" w:type="pct"/>
            <w:vMerge w:val="continue"/>
            <w:vAlign w:val="center"/>
          </w:tcPr>
          <w:p>
            <w:pPr>
              <w:adjustRightInd w:val="0"/>
              <w:snapToGrid w:val="0"/>
              <w:jc w:val="center"/>
              <w:rPr>
                <w:rFonts w:ascii="仿宋" w:hAnsi="仿宋" w:eastAsia="仿宋" w:cs="仿宋"/>
                <w:sz w:val="24"/>
              </w:rPr>
            </w:pP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档案管理</w:t>
            </w:r>
          </w:p>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(5分)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根据响应人提供的档案管理方案进行评分：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(1)方案完整具体、针对性强、可行性高，得5分；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(2)方案较完整具体、针对性较强、可行性较高，得3分；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(3)方案完整性、具体性、针对性、可行性一般，得1分；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(4)未提供或其他情况不得分。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515" w:type="pct"/>
            <w:vMerge w:val="continue"/>
            <w:vAlign w:val="center"/>
          </w:tcPr>
          <w:p>
            <w:pPr>
              <w:pStyle w:val="7"/>
              <w:jc w:val="center"/>
              <w:rPr>
                <w:rFonts w:ascii="仿宋" w:hAnsi="仿宋" w:eastAsia="仿宋" w:cs="仿宋"/>
                <w:spacing w:val="-3"/>
                <w:sz w:val="24"/>
                <w:szCs w:val="24"/>
                <w:lang w:eastAsia="zh-CN"/>
              </w:rPr>
            </w:pPr>
          </w:p>
        </w:tc>
        <w:tc>
          <w:tcPr>
            <w:tcW w:w="318" w:type="pct"/>
            <w:vMerge w:val="continue"/>
            <w:vAlign w:val="center"/>
          </w:tcPr>
          <w:p>
            <w:pPr>
              <w:adjustRightInd w:val="0"/>
              <w:snapToGrid w:val="0"/>
              <w:jc w:val="center"/>
              <w:rPr>
                <w:rFonts w:ascii="仿宋" w:hAnsi="仿宋" w:eastAsia="仿宋" w:cs="仿宋"/>
                <w:sz w:val="24"/>
              </w:rPr>
            </w:pP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询问、质疑、投诉处理能力</w:t>
            </w:r>
          </w:p>
          <w:p>
            <w:pPr>
              <w:pStyle w:val="7"/>
              <w:jc w:val="center"/>
              <w:rPr>
                <w:rFonts w:ascii="仿宋" w:hAnsi="仿宋" w:eastAsia="仿宋" w:cs="仿宋"/>
                <w:spacing w:val="2"/>
                <w:sz w:val="24"/>
                <w:szCs w:val="24"/>
              </w:rPr>
            </w:pPr>
            <w:r>
              <w:rPr>
                <w:rFonts w:hint="eastAsia" w:ascii="仿宋" w:hAnsi="仿宋" w:eastAsia="仿宋" w:cs="仿宋"/>
                <w:spacing w:val="2"/>
                <w:sz w:val="24"/>
                <w:szCs w:val="24"/>
                <w:lang w:eastAsia="zh-CN"/>
              </w:rPr>
              <w:t>(6分)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根据响应人提供的询问、质疑、投诉的应对方案进行评分：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(1)方案完整具体、可行性高、处理时效高，得6分；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(2)方案较完整具体、可行性较高、处理时效较高，得4分；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(3)方案完整性、具体性、可行性、时效性一般，得1分；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(4)未提供或其他情况不得分。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515" w:type="pct"/>
            <w:vAlign w:val="center"/>
          </w:tcPr>
          <w:p>
            <w:pPr>
              <w:pStyle w:val="7"/>
              <w:jc w:val="center"/>
              <w:rPr>
                <w:rFonts w:ascii="仿宋" w:hAnsi="仿宋" w:eastAsia="仿宋" w:cs="仿宋"/>
                <w:spacing w:val="-3"/>
                <w:sz w:val="24"/>
                <w:szCs w:val="24"/>
                <w:lang w:eastAsia="zh-CN"/>
              </w:rPr>
            </w:pPr>
            <w:r>
              <w:rPr>
                <w:rFonts w:hint="eastAsia" w:ascii="仿宋" w:hAnsi="仿宋" w:eastAsia="仿宋" w:cs="仿宋"/>
                <w:spacing w:val="-3"/>
                <w:sz w:val="24"/>
                <w:szCs w:val="24"/>
              </w:rPr>
              <w:t>二、</w:t>
            </w:r>
            <w:r>
              <w:rPr>
                <w:rFonts w:hint="eastAsia" w:ascii="仿宋" w:hAnsi="仿宋" w:eastAsia="仿宋" w:cs="仿宋"/>
                <w:spacing w:val="-3"/>
                <w:sz w:val="24"/>
                <w:szCs w:val="24"/>
                <w:lang w:eastAsia="zh-CN"/>
              </w:rPr>
              <w:t>项目负责人</w:t>
            </w:r>
          </w:p>
        </w:tc>
        <w:tc>
          <w:tcPr>
            <w:tcW w:w="318" w:type="pct"/>
            <w:vAlign w:val="center"/>
          </w:tcPr>
          <w:p>
            <w:pPr>
              <w:pStyle w:val="7"/>
              <w:jc w:val="center"/>
              <w:rPr>
                <w:rFonts w:ascii="仿宋" w:hAnsi="仿宋" w:eastAsia="仿宋" w:cs="仿宋"/>
                <w:sz w:val="24"/>
                <w:szCs w:val="24"/>
              </w:rPr>
            </w:pPr>
            <w:r>
              <w:rPr>
                <w:rFonts w:hint="eastAsia" w:ascii="仿宋" w:hAnsi="仿宋" w:eastAsia="仿宋" w:cs="仿宋"/>
                <w:spacing w:val="3"/>
                <w:sz w:val="24"/>
                <w:szCs w:val="24"/>
              </w:rPr>
              <w:t>10分</w:t>
            </w: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项目负责人素质</w:t>
            </w:r>
          </w:p>
          <w:p>
            <w:pPr>
              <w:pStyle w:val="7"/>
              <w:jc w:val="center"/>
              <w:rPr>
                <w:rFonts w:ascii="仿宋" w:hAnsi="仿宋" w:eastAsia="仿宋" w:cs="仿宋"/>
                <w:spacing w:val="2"/>
                <w:sz w:val="24"/>
                <w:szCs w:val="24"/>
              </w:rPr>
            </w:pPr>
            <w:r>
              <w:rPr>
                <w:rFonts w:hint="eastAsia" w:ascii="仿宋" w:hAnsi="仿宋" w:eastAsia="仿宋" w:cs="仿宋"/>
                <w:spacing w:val="2"/>
                <w:sz w:val="24"/>
                <w:szCs w:val="24"/>
                <w:lang w:eastAsia="zh-CN"/>
              </w:rPr>
              <w:t>(10分)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拟投入本项目的项目负责人具有中级或以上职称的，得6分；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从事招标代理行业从业年限≥3年，得4分。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注：提供项目负责人近半年来在响应人单位的在职劳动合同、职称证书及毕业证复印件，工作经验以毕业证上登载的时间起算。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5" w:type="pct"/>
            <w:vMerge w:val="restart"/>
            <w:vAlign w:val="center"/>
          </w:tcPr>
          <w:p>
            <w:pPr>
              <w:pStyle w:val="7"/>
              <w:jc w:val="center"/>
              <w:rPr>
                <w:rFonts w:ascii="仿宋" w:hAnsi="仿宋" w:eastAsia="仿宋" w:cs="仿宋"/>
                <w:spacing w:val="-3"/>
                <w:sz w:val="24"/>
                <w:szCs w:val="24"/>
              </w:rPr>
            </w:pPr>
            <w:r>
              <w:rPr>
                <w:rFonts w:hint="eastAsia" w:ascii="仿宋" w:hAnsi="仿宋" w:eastAsia="仿宋" w:cs="仿宋"/>
                <w:spacing w:val="-3"/>
                <w:sz w:val="24"/>
                <w:szCs w:val="24"/>
              </w:rPr>
              <w:t>三、企业实力</w:t>
            </w:r>
          </w:p>
        </w:tc>
        <w:tc>
          <w:tcPr>
            <w:tcW w:w="318" w:type="pct"/>
            <w:vMerge w:val="restart"/>
            <w:vAlign w:val="center"/>
          </w:tcPr>
          <w:p>
            <w:pPr>
              <w:pStyle w:val="7"/>
              <w:jc w:val="center"/>
              <w:rPr>
                <w:rFonts w:ascii="仿宋" w:hAnsi="仿宋" w:eastAsia="仿宋" w:cs="仿宋"/>
                <w:sz w:val="24"/>
                <w:szCs w:val="24"/>
              </w:rPr>
            </w:pPr>
            <w:r>
              <w:rPr>
                <w:rFonts w:hint="eastAsia" w:ascii="仿宋" w:hAnsi="仿宋" w:eastAsia="仿宋" w:cs="仿宋"/>
                <w:spacing w:val="3"/>
                <w:sz w:val="24"/>
                <w:szCs w:val="24"/>
                <w:lang w:eastAsia="zh-CN"/>
              </w:rPr>
              <w:t>47</w:t>
            </w:r>
            <w:r>
              <w:rPr>
                <w:rFonts w:hint="eastAsia" w:ascii="仿宋" w:hAnsi="仿宋" w:eastAsia="仿宋" w:cs="仿宋"/>
                <w:spacing w:val="3"/>
                <w:sz w:val="24"/>
                <w:szCs w:val="24"/>
              </w:rPr>
              <w:t>分</w:t>
            </w:r>
          </w:p>
        </w:tc>
        <w:tc>
          <w:tcPr>
            <w:tcW w:w="595" w:type="pct"/>
            <w:vAlign w:val="center"/>
          </w:tcPr>
          <w:p>
            <w:pPr>
              <w:pStyle w:val="7"/>
              <w:jc w:val="center"/>
              <w:rPr>
                <w:rFonts w:ascii="仿宋" w:hAnsi="仿宋" w:eastAsia="仿宋" w:cs="仿宋"/>
                <w:spacing w:val="2"/>
                <w:sz w:val="24"/>
                <w:szCs w:val="24"/>
              </w:rPr>
            </w:pPr>
          </w:p>
        </w:tc>
        <w:tc>
          <w:tcPr>
            <w:tcW w:w="3572" w:type="pct"/>
            <w:vAlign w:val="center"/>
          </w:tcPr>
          <w:p>
            <w:pPr>
              <w:pStyle w:val="7"/>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515" w:type="pct"/>
            <w:vMerge w:val="continue"/>
            <w:vAlign w:val="center"/>
          </w:tcPr>
          <w:p>
            <w:pPr>
              <w:pStyle w:val="7"/>
              <w:jc w:val="center"/>
              <w:rPr>
                <w:rFonts w:ascii="仿宋" w:hAnsi="仿宋" w:eastAsia="仿宋" w:cs="仿宋"/>
                <w:spacing w:val="-3"/>
                <w:sz w:val="24"/>
                <w:szCs w:val="24"/>
                <w:lang w:eastAsia="zh-CN"/>
              </w:rPr>
            </w:pPr>
          </w:p>
        </w:tc>
        <w:tc>
          <w:tcPr>
            <w:tcW w:w="318" w:type="pct"/>
            <w:vMerge w:val="continue"/>
            <w:vAlign w:val="center"/>
          </w:tcPr>
          <w:p>
            <w:pPr>
              <w:pStyle w:val="7"/>
              <w:ind w:left="161"/>
              <w:jc w:val="center"/>
              <w:rPr>
                <w:rFonts w:ascii="仿宋" w:hAnsi="仿宋" w:eastAsia="仿宋" w:cs="仿宋"/>
                <w:sz w:val="24"/>
                <w:szCs w:val="24"/>
              </w:rPr>
            </w:pP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办公面积</w:t>
            </w:r>
          </w:p>
          <w:p>
            <w:pPr>
              <w:pStyle w:val="7"/>
              <w:jc w:val="center"/>
              <w:rPr>
                <w:rFonts w:ascii="仿宋" w:hAnsi="仿宋" w:eastAsia="仿宋" w:cs="仿宋"/>
                <w:spacing w:val="2"/>
                <w:sz w:val="24"/>
                <w:szCs w:val="24"/>
              </w:rPr>
            </w:pPr>
            <w:r>
              <w:rPr>
                <w:rFonts w:hint="eastAsia" w:ascii="仿宋" w:hAnsi="仿宋" w:eastAsia="仿宋" w:cs="仿宋"/>
                <w:spacing w:val="2"/>
                <w:sz w:val="24"/>
                <w:szCs w:val="24"/>
                <w:lang w:eastAsia="zh-CN"/>
              </w:rPr>
              <w:t>(15分)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代理机构或其分支机构有固定办公场所(自有或租用)面积在400平方米(含400平方米)以上的得15分，面积在200平方米(含200平方米)以上400平米以下的得7分，面积在200平方米以下的不得分。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注：提供相关房产证明或房屋租赁合同复印件。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515" w:type="pct"/>
            <w:vMerge w:val="continue"/>
            <w:vAlign w:val="center"/>
          </w:tcPr>
          <w:p>
            <w:pPr>
              <w:pStyle w:val="7"/>
              <w:jc w:val="center"/>
              <w:rPr>
                <w:rFonts w:ascii="仿宋" w:hAnsi="仿宋" w:eastAsia="仿宋" w:cs="仿宋"/>
                <w:spacing w:val="-3"/>
                <w:sz w:val="24"/>
                <w:szCs w:val="24"/>
                <w:lang w:eastAsia="zh-CN"/>
              </w:rPr>
            </w:pPr>
          </w:p>
        </w:tc>
        <w:tc>
          <w:tcPr>
            <w:tcW w:w="318" w:type="pct"/>
            <w:vMerge w:val="continue"/>
            <w:vAlign w:val="center"/>
          </w:tcPr>
          <w:p>
            <w:pPr>
              <w:adjustRightInd w:val="0"/>
              <w:snapToGrid w:val="0"/>
              <w:jc w:val="center"/>
              <w:rPr>
                <w:rFonts w:ascii="仿宋" w:hAnsi="仿宋" w:eastAsia="仿宋" w:cs="仿宋"/>
                <w:sz w:val="24"/>
              </w:rPr>
            </w:pP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服务场所</w:t>
            </w:r>
          </w:p>
          <w:p>
            <w:pPr>
              <w:pStyle w:val="7"/>
              <w:jc w:val="center"/>
              <w:rPr>
                <w:rFonts w:ascii="仿宋" w:hAnsi="仿宋" w:eastAsia="仿宋" w:cs="仿宋"/>
                <w:spacing w:val="2"/>
                <w:sz w:val="24"/>
                <w:szCs w:val="24"/>
              </w:rPr>
            </w:pPr>
            <w:r>
              <w:rPr>
                <w:rFonts w:hint="eastAsia" w:ascii="仿宋" w:hAnsi="仿宋" w:eastAsia="仿宋" w:cs="仿宋"/>
                <w:spacing w:val="2"/>
                <w:sz w:val="24"/>
                <w:szCs w:val="24"/>
                <w:lang w:eastAsia="zh-CN"/>
              </w:rPr>
              <w:t>20分)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(1)考核响应人的开评标区域与办公区域是否有效相互独立，开标区与评标区域是否能有效相互物理隔离，是否具备独立的专家集中室，是否在开评标区域(包含专家集中点)安装视频监控，满足全区域、全过程、无死角监控，确保政府采购当事人活动全过程监控，提供平面现场图片及相关说明。</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1)各个功能区域划分合理，能完全隔离，视频监控能全过程、无死角，能确保评审专家进入评审区域不受干扰，得12分；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2)各个功能区域划分基本合理，基本能隔离，视频监控能全过程，无死角，基本能确保评审专家进入评审区域不受干扰，得7分；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3)各个功能区域混合，不能隔离，视频监控不能全过程、有死角，不能确保评审专家进入评审区域不受干扰，得2分；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4)未提供或其他情况不得分。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(2)能用于保障正常评标业务开展的带摄像头评标室3间(含)以上的得8分，2间的得4分，其他不得分。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注：提供相关房产证明或房屋租赁合同复印件。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515" w:type="pct"/>
            <w:vMerge w:val="continue"/>
            <w:vAlign w:val="center"/>
          </w:tcPr>
          <w:p>
            <w:pPr>
              <w:pStyle w:val="7"/>
              <w:jc w:val="center"/>
              <w:rPr>
                <w:rFonts w:ascii="仿宋" w:hAnsi="仿宋" w:eastAsia="仿宋" w:cs="仿宋"/>
                <w:spacing w:val="-3"/>
                <w:sz w:val="24"/>
                <w:szCs w:val="24"/>
                <w:lang w:eastAsia="zh-CN"/>
              </w:rPr>
            </w:pPr>
          </w:p>
        </w:tc>
        <w:tc>
          <w:tcPr>
            <w:tcW w:w="318" w:type="pct"/>
            <w:vMerge w:val="continue"/>
            <w:vAlign w:val="center"/>
          </w:tcPr>
          <w:p>
            <w:pPr>
              <w:adjustRightInd w:val="0"/>
              <w:snapToGrid w:val="0"/>
              <w:jc w:val="center"/>
              <w:rPr>
                <w:rFonts w:ascii="仿宋" w:hAnsi="仿宋" w:eastAsia="仿宋" w:cs="仿宋"/>
                <w:sz w:val="24"/>
              </w:rPr>
            </w:pP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管理体系证书</w:t>
            </w:r>
          </w:p>
          <w:p>
            <w:pPr>
              <w:pStyle w:val="7"/>
              <w:jc w:val="center"/>
              <w:rPr>
                <w:rFonts w:ascii="仿宋" w:hAnsi="仿宋" w:eastAsia="仿宋" w:cs="仿宋"/>
                <w:spacing w:val="2"/>
                <w:sz w:val="24"/>
                <w:szCs w:val="24"/>
              </w:rPr>
            </w:pPr>
            <w:r>
              <w:rPr>
                <w:rFonts w:hint="eastAsia" w:ascii="仿宋" w:hAnsi="仿宋" w:eastAsia="仿宋" w:cs="仿宋"/>
                <w:spacing w:val="2"/>
                <w:sz w:val="24"/>
                <w:szCs w:val="24"/>
                <w:lang w:eastAsia="zh-CN"/>
              </w:rPr>
              <w:t>(6分)</w:t>
            </w:r>
          </w:p>
        </w:tc>
        <w:tc>
          <w:tcPr>
            <w:tcW w:w="3572" w:type="pct"/>
            <w:vAlign w:val="center"/>
          </w:tcPr>
          <w:p>
            <w:pPr>
              <w:pStyle w:val="7"/>
              <w:jc w:val="both"/>
              <w:rPr>
                <w:rFonts w:ascii="仿宋" w:hAnsi="仿宋" w:eastAsia="仿宋" w:cs="仿宋"/>
                <w:color w:val="auto"/>
                <w:sz w:val="24"/>
                <w:szCs w:val="24"/>
                <w:lang w:eastAsia="zh-CN"/>
              </w:rPr>
            </w:pPr>
            <w:r>
              <w:rPr>
                <w:rFonts w:hint="eastAsia" w:ascii="仿宋" w:hAnsi="仿宋" w:eastAsia="仿宋" w:cs="仿宋"/>
                <w:sz w:val="24"/>
                <w:szCs w:val="24"/>
                <w:lang w:eastAsia="zh-CN"/>
              </w:rPr>
              <w:t>响应人具有有效的质量管理体系认证证书、环境管理体系认证证书、职业健康安全管理体系认证证书的，每具有一项得2分，最高得6分，无提供不得分。</w:t>
            </w:r>
          </w:p>
          <w:p>
            <w:pPr>
              <w:pStyle w:val="7"/>
              <w:jc w:val="both"/>
              <w:rPr>
                <w:rFonts w:ascii="仿宋" w:hAnsi="仿宋" w:eastAsia="仿宋" w:cs="仿宋"/>
                <w:sz w:val="24"/>
                <w:szCs w:val="24"/>
                <w:lang w:eastAsia="zh-CN"/>
              </w:rPr>
            </w:pPr>
            <w:r>
              <w:rPr>
                <w:rFonts w:hint="eastAsia" w:ascii="仿宋" w:hAnsi="仿宋" w:eastAsia="仿宋" w:cs="仿宋"/>
                <w:color w:val="auto"/>
                <w:sz w:val="24"/>
                <w:lang w:eastAsia="zh-CN"/>
              </w:rPr>
              <w:t>提供以上证明文件复印件加盖单位公章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515" w:type="pct"/>
            <w:vMerge w:val="continue"/>
            <w:vAlign w:val="center"/>
          </w:tcPr>
          <w:p>
            <w:pPr>
              <w:pStyle w:val="7"/>
              <w:jc w:val="center"/>
              <w:rPr>
                <w:rFonts w:ascii="仿宋" w:hAnsi="仿宋" w:eastAsia="仿宋" w:cs="仿宋"/>
                <w:spacing w:val="-3"/>
                <w:sz w:val="24"/>
                <w:szCs w:val="24"/>
                <w:lang w:eastAsia="zh-CN"/>
              </w:rPr>
            </w:pPr>
          </w:p>
        </w:tc>
        <w:tc>
          <w:tcPr>
            <w:tcW w:w="318" w:type="pct"/>
            <w:vMerge w:val="continue"/>
            <w:vAlign w:val="center"/>
          </w:tcPr>
          <w:p>
            <w:pPr>
              <w:adjustRightInd w:val="0"/>
              <w:snapToGrid w:val="0"/>
              <w:jc w:val="center"/>
              <w:rPr>
                <w:rFonts w:ascii="仿宋" w:hAnsi="仿宋" w:eastAsia="仿宋" w:cs="仿宋"/>
                <w:sz w:val="24"/>
              </w:rPr>
            </w:pP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技术服务能力</w:t>
            </w:r>
          </w:p>
          <w:p>
            <w:pPr>
              <w:pStyle w:val="7"/>
              <w:jc w:val="center"/>
              <w:rPr>
                <w:rFonts w:ascii="仿宋" w:hAnsi="仿宋" w:eastAsia="仿宋" w:cs="仿宋"/>
                <w:spacing w:val="2"/>
                <w:sz w:val="24"/>
                <w:szCs w:val="24"/>
              </w:rPr>
            </w:pPr>
            <w:r>
              <w:rPr>
                <w:rFonts w:hint="eastAsia" w:ascii="仿宋" w:hAnsi="仿宋" w:eastAsia="仿宋" w:cs="仿宋"/>
                <w:spacing w:val="2"/>
                <w:sz w:val="24"/>
                <w:szCs w:val="24"/>
                <w:lang w:eastAsia="zh-CN"/>
              </w:rPr>
              <w:t>(6分)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响应人有企业聘任的律师事务所法律顾问，得6分。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注：提供企业与律师事务所签订的服务合同复印件。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jc w:val="center"/>
        </w:trPr>
        <w:tc>
          <w:tcPr>
            <w:tcW w:w="515" w:type="pct"/>
            <w:vAlign w:val="center"/>
          </w:tcPr>
          <w:p>
            <w:pPr>
              <w:pStyle w:val="7"/>
              <w:jc w:val="center"/>
              <w:rPr>
                <w:rFonts w:ascii="仿宋" w:hAnsi="仿宋" w:eastAsia="仿宋" w:cs="仿宋"/>
                <w:spacing w:val="-3"/>
                <w:sz w:val="24"/>
                <w:szCs w:val="24"/>
              </w:rPr>
            </w:pPr>
            <w:r>
              <w:rPr>
                <w:rFonts w:hint="eastAsia" w:ascii="仿宋" w:hAnsi="仿宋" w:eastAsia="仿宋" w:cs="仿宋"/>
                <w:spacing w:val="-3"/>
                <w:sz w:val="24"/>
                <w:szCs w:val="24"/>
              </w:rPr>
              <w:t>四、企业业绩</w:t>
            </w:r>
          </w:p>
        </w:tc>
        <w:tc>
          <w:tcPr>
            <w:tcW w:w="318" w:type="pct"/>
            <w:vAlign w:val="center"/>
          </w:tcPr>
          <w:p>
            <w:pPr>
              <w:pStyle w:val="7"/>
              <w:jc w:val="center"/>
              <w:rPr>
                <w:rFonts w:ascii="仿宋" w:hAnsi="仿宋" w:eastAsia="仿宋" w:cs="仿宋"/>
                <w:sz w:val="24"/>
                <w:szCs w:val="24"/>
              </w:rPr>
            </w:pPr>
            <w:r>
              <w:rPr>
                <w:rFonts w:hint="eastAsia" w:ascii="仿宋" w:hAnsi="仿宋" w:eastAsia="仿宋" w:cs="仿宋"/>
                <w:spacing w:val="3"/>
                <w:sz w:val="24"/>
                <w:szCs w:val="24"/>
              </w:rPr>
              <w:t>10分</w:t>
            </w:r>
          </w:p>
        </w:tc>
        <w:tc>
          <w:tcPr>
            <w:tcW w:w="595" w:type="pct"/>
            <w:vAlign w:val="center"/>
          </w:tcPr>
          <w:p>
            <w:pPr>
              <w:pStyle w:val="7"/>
              <w:jc w:val="center"/>
              <w:rPr>
                <w:rFonts w:ascii="仿宋" w:hAnsi="仿宋" w:eastAsia="仿宋" w:cs="仿宋"/>
                <w:spacing w:val="2"/>
                <w:sz w:val="24"/>
                <w:szCs w:val="24"/>
              </w:rPr>
            </w:pPr>
            <w:r>
              <w:rPr>
                <w:rFonts w:hint="eastAsia" w:ascii="仿宋" w:hAnsi="仿宋" w:eastAsia="仿宋" w:cs="仿宋"/>
                <w:spacing w:val="2"/>
                <w:sz w:val="24"/>
                <w:szCs w:val="24"/>
                <w:lang w:eastAsia="zh-CN"/>
              </w:rPr>
              <w:t>招标代理类似业绩(10分)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(1)从2020年1月至今代理过服务类项目的，每提供1个得2分，本小项最高得6分；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(2)从2020年1月至今代理过货物类项目的，每提供1个得2分，本小项最高得4分；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本项累计最高得10分，同一委托单位的业绩只计算1次得分，不重复计算得分。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注：提供完整的项目委托代理协议复印件或项目招标（采购）公告截图。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515" w:type="pct"/>
            <w:vAlign w:val="center"/>
          </w:tcPr>
          <w:p>
            <w:pPr>
              <w:pStyle w:val="7"/>
              <w:jc w:val="center"/>
              <w:rPr>
                <w:rFonts w:ascii="仿宋" w:hAnsi="仿宋" w:eastAsia="仿宋" w:cs="仿宋"/>
                <w:spacing w:val="-3"/>
                <w:sz w:val="24"/>
                <w:szCs w:val="24"/>
              </w:rPr>
            </w:pPr>
            <w:r>
              <w:rPr>
                <w:rFonts w:hint="eastAsia" w:ascii="仿宋" w:hAnsi="仿宋" w:eastAsia="仿宋" w:cs="仿宋"/>
                <w:spacing w:val="-3"/>
                <w:sz w:val="24"/>
                <w:szCs w:val="24"/>
              </w:rPr>
              <w:t>五、增值服务方案</w:t>
            </w:r>
          </w:p>
        </w:tc>
        <w:tc>
          <w:tcPr>
            <w:tcW w:w="318" w:type="pct"/>
            <w:vAlign w:val="center"/>
          </w:tcPr>
          <w:p>
            <w:pPr>
              <w:pStyle w:val="7"/>
              <w:ind w:left="110"/>
              <w:jc w:val="center"/>
              <w:rPr>
                <w:rFonts w:ascii="仿宋" w:hAnsi="仿宋" w:eastAsia="仿宋" w:cs="仿宋"/>
                <w:sz w:val="24"/>
                <w:szCs w:val="24"/>
              </w:rPr>
            </w:pPr>
            <w:r>
              <w:rPr>
                <w:rFonts w:hint="eastAsia" w:ascii="仿宋" w:hAnsi="仿宋" w:eastAsia="仿宋" w:cs="仿宋"/>
                <w:spacing w:val="5"/>
                <w:sz w:val="24"/>
                <w:szCs w:val="24"/>
              </w:rPr>
              <w:t>5分</w:t>
            </w:r>
          </w:p>
        </w:tc>
        <w:tc>
          <w:tcPr>
            <w:tcW w:w="595" w:type="pct"/>
            <w:vAlign w:val="center"/>
          </w:tcPr>
          <w:p>
            <w:pPr>
              <w:pStyle w:val="7"/>
              <w:jc w:val="center"/>
              <w:rPr>
                <w:rFonts w:ascii="仿宋" w:hAnsi="仿宋" w:eastAsia="仿宋" w:cs="仿宋"/>
                <w:spacing w:val="2"/>
                <w:sz w:val="24"/>
                <w:szCs w:val="24"/>
                <w:lang w:eastAsia="zh-CN"/>
              </w:rPr>
            </w:pPr>
            <w:r>
              <w:rPr>
                <w:rFonts w:hint="eastAsia" w:ascii="仿宋" w:hAnsi="仿宋" w:eastAsia="仿宋" w:cs="仿宋"/>
                <w:spacing w:val="2"/>
                <w:sz w:val="24"/>
                <w:szCs w:val="24"/>
                <w:lang w:eastAsia="zh-CN"/>
              </w:rPr>
              <w:t>增值方案的完整性及可行性</w:t>
            </w:r>
          </w:p>
          <w:p>
            <w:pPr>
              <w:pStyle w:val="7"/>
              <w:jc w:val="center"/>
              <w:rPr>
                <w:rFonts w:ascii="仿宋" w:hAnsi="仿宋" w:eastAsia="仿宋" w:cs="仿宋"/>
                <w:spacing w:val="2"/>
                <w:sz w:val="24"/>
                <w:szCs w:val="24"/>
              </w:rPr>
            </w:pPr>
            <w:r>
              <w:rPr>
                <w:rFonts w:hint="eastAsia" w:ascii="仿宋" w:hAnsi="仿宋" w:eastAsia="仿宋" w:cs="仿宋"/>
                <w:spacing w:val="2"/>
                <w:sz w:val="24"/>
                <w:szCs w:val="24"/>
                <w:lang w:eastAsia="zh-CN"/>
              </w:rPr>
              <w:t>(5分)</w:t>
            </w:r>
          </w:p>
        </w:tc>
        <w:tc>
          <w:tcPr>
            <w:tcW w:w="3572" w:type="pct"/>
            <w:vAlign w:val="center"/>
          </w:tcPr>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根据响应人提供的对遴选人有实质性、有利的专业服务或增值服务进行评分，如政府采购的专业培训讲座、法律咨询、专家咨询、个性化交通措施、数据分析(如类似项目历史成交数据、已完成的招标文件等)、市场调研、往来材料邮寄、项目人员驻场等有利于遴选人工作事实且切实可行的有关方案，</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(1)方案完整具体、针对性强、可行性高，得5分；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(2)方案较完整具体、针对性较强、可行性较高，得3分；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(3)方案完整性、具体性、针对性、可行性一般，得1分</w:t>
            </w:r>
          </w:p>
          <w:p>
            <w:pPr>
              <w:pStyle w:val="7"/>
              <w:jc w:val="both"/>
              <w:rPr>
                <w:rFonts w:ascii="仿宋" w:hAnsi="仿宋" w:eastAsia="仿宋" w:cs="仿宋"/>
                <w:sz w:val="24"/>
                <w:szCs w:val="24"/>
                <w:lang w:eastAsia="zh-CN"/>
              </w:rPr>
            </w:pPr>
            <w:r>
              <w:rPr>
                <w:rFonts w:hint="eastAsia" w:ascii="仿宋" w:hAnsi="仿宋" w:eastAsia="仿宋" w:cs="仿宋"/>
                <w:sz w:val="24"/>
                <w:szCs w:val="24"/>
                <w:lang w:eastAsia="zh-CN"/>
              </w:rPr>
              <w:t>(4)未提供或其他情况不得分。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1428" w:type="pct"/>
            <w:gridSpan w:val="3"/>
            <w:vAlign w:val="center"/>
          </w:tcPr>
          <w:p>
            <w:pPr>
              <w:pStyle w:val="7"/>
              <w:jc w:val="center"/>
              <w:rPr>
                <w:rFonts w:ascii="仿宋" w:hAnsi="仿宋" w:eastAsia="仿宋" w:cs="仿宋"/>
                <w:sz w:val="24"/>
                <w:szCs w:val="24"/>
                <w:lang w:eastAsia="zh-CN"/>
              </w:rPr>
            </w:pPr>
            <w:r>
              <w:rPr>
                <w:rFonts w:hint="eastAsia" w:ascii="仿宋" w:hAnsi="仿宋" w:eastAsia="仿宋" w:cs="仿宋"/>
                <w:sz w:val="24"/>
                <w:szCs w:val="24"/>
                <w:lang w:eastAsia="zh-CN"/>
              </w:rPr>
              <w:t>合计得分</w:t>
            </w:r>
          </w:p>
        </w:tc>
        <w:tc>
          <w:tcPr>
            <w:tcW w:w="3572" w:type="pct"/>
            <w:vAlign w:val="center"/>
          </w:tcPr>
          <w:p>
            <w:pPr>
              <w:pStyle w:val="7"/>
              <w:jc w:val="center"/>
              <w:rPr>
                <w:rFonts w:ascii="仿宋" w:hAnsi="仿宋" w:eastAsia="仿宋" w:cs="仿宋"/>
                <w:sz w:val="24"/>
                <w:szCs w:val="24"/>
                <w:lang w:eastAsia="zh-CN"/>
              </w:rPr>
            </w:pPr>
            <w:r>
              <w:rPr>
                <w:rFonts w:hint="eastAsia" w:ascii="仿宋" w:hAnsi="仿宋" w:eastAsia="仿宋" w:cs="仿宋"/>
                <w:sz w:val="24"/>
                <w:szCs w:val="24"/>
                <w:lang w:eastAsia="zh-CN"/>
              </w:rPr>
              <w:t>100分</w:t>
            </w:r>
          </w:p>
        </w:tc>
      </w:tr>
    </w:tbl>
    <w:p/>
    <w:p>
      <w:pPr>
        <w:spacing w:line="560" w:lineRule="exact"/>
        <w:ind w:firstLine="640" w:firstLineChars="200"/>
        <w:jc w:val="right"/>
        <w:rPr>
          <w:rFonts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utura Md BT">
    <w:altName w:val="Lucida Sans Unicode"/>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Bembo">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6A55"/>
    <w:multiLevelType w:val="singleLevel"/>
    <w:tmpl w:val="963C6A55"/>
    <w:lvl w:ilvl="0" w:tentative="0">
      <w:start w:val="1"/>
      <w:numFmt w:val="decimal"/>
      <w:suff w:val="space"/>
      <w:lvlText w:val="%1."/>
      <w:lvlJc w:val="left"/>
    </w:lvl>
  </w:abstractNum>
  <w:abstractNum w:abstractNumId="1">
    <w:nsid w:val="C0BAC7F9"/>
    <w:multiLevelType w:val="singleLevel"/>
    <w:tmpl w:val="C0BAC7F9"/>
    <w:lvl w:ilvl="0" w:tentative="0">
      <w:start w:val="1"/>
      <w:numFmt w:val="decimal"/>
      <w:lvlText w:val="%1."/>
      <w:lvlJc w:val="left"/>
      <w:pPr>
        <w:tabs>
          <w:tab w:val="left" w:pos="312"/>
        </w:tabs>
      </w:pPr>
    </w:lvl>
  </w:abstractNum>
  <w:abstractNum w:abstractNumId="2">
    <w:nsid w:val="691931FD"/>
    <w:multiLevelType w:val="singleLevel"/>
    <w:tmpl w:val="691931FD"/>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WRkNDM5Y2IxODhjOWVjNjhmZTEzNmJjZjNlZTEifQ=="/>
    <w:docVar w:name="KSO_WPS_MARK_KEY" w:val="8449ad55-b63e-4a2d-8897-d3a3dfc23ca5"/>
  </w:docVars>
  <w:rsids>
    <w:rsidRoot w:val="66060070"/>
    <w:rsid w:val="08FC790F"/>
    <w:rsid w:val="319835F9"/>
    <w:rsid w:val="45D05885"/>
    <w:rsid w:val="4E6376DD"/>
    <w:rsid w:val="59CA5790"/>
    <w:rsid w:val="5AD10C43"/>
    <w:rsid w:val="66060070"/>
    <w:rsid w:val="6BAD7B48"/>
    <w:rsid w:val="712C2454"/>
    <w:rsid w:val="7214605D"/>
    <w:rsid w:val="78DA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FT footer text"/>
    <w:basedOn w:val="1"/>
    <w:qFormat/>
    <w:uiPriority w:val="0"/>
    <w:pPr>
      <w:tabs>
        <w:tab w:val="right" w:pos="8640"/>
      </w:tabs>
      <w:spacing w:before="120"/>
      <w:ind w:right="540"/>
      <w:jc w:val="right"/>
    </w:pPr>
    <w:rPr>
      <w:rFonts w:ascii="Futura Md BT" w:hAnsi="Futura Md BT"/>
      <w:b/>
      <w:color w:val="808080"/>
      <w:kern w:val="20"/>
    </w:rPr>
  </w:style>
  <w:style w:type="paragraph" w:customStyle="1" w:styleId="5">
    <w:name w:val="Disclaimer"/>
    <w:basedOn w:val="4"/>
    <w:autoRedefine/>
    <w:qFormat/>
    <w:uiPriority w:val="0"/>
    <w:pPr>
      <w:jc w:val="left"/>
    </w:pPr>
    <w:rPr>
      <w:rFonts w:ascii="Arial Narrow" w:hAnsi="Arial Narrow"/>
      <w:b w:val="0"/>
      <w:sz w:val="12"/>
    </w:rPr>
  </w:style>
  <w:style w:type="paragraph" w:customStyle="1" w:styleId="6">
    <w:name w:val="FS footer spacer line"/>
    <w:basedOn w:val="1"/>
    <w:qFormat/>
    <w:uiPriority w:val="0"/>
    <w:rPr>
      <w:rFonts w:ascii="Bembo" w:hAnsi="Bembo"/>
      <w:spacing w:val="-4"/>
      <w:kern w:val="20"/>
      <w:sz w:val="4"/>
    </w:rPr>
  </w:style>
  <w:style w:type="paragraph" w:customStyle="1" w:styleId="7">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3936</Words>
  <Characters>4109</Characters>
  <Lines>0</Lines>
  <Paragraphs>0</Paragraphs>
  <TotalTime>13</TotalTime>
  <ScaleCrop>false</ScaleCrop>
  <LinksUpToDate>false</LinksUpToDate>
  <CharactersWithSpaces>4219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2024-02-19T07:00:00Z</dcterms:created>
  <dc:creator>方夏亭</dc:creator>
  <cp:lastModifiedBy>Administrator</cp:lastModifiedBy>
  <dcterms:modified xsi:type="dcterms:W3CDTF">2024-03-02T16:28:58Z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6C3A2268E8A74876ACB68B1970F2C626_13</vt:lpwstr>
  </property>
</Properties>
</file>